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F6" w:rsidRPr="00CC31F6" w:rsidRDefault="00CC31F6" w:rsidP="00CC31F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1973AF"/>
          <w:kern w:val="36"/>
          <w:sz w:val="28"/>
          <w:szCs w:val="28"/>
          <w:lang w:eastAsia="sk-SK"/>
        </w:rPr>
      </w:pPr>
      <w:r w:rsidRPr="00CC31F6">
        <w:rPr>
          <w:rFonts w:ascii="Times New Roman" w:eastAsia="Times New Roman" w:hAnsi="Times New Roman" w:cs="Times New Roman"/>
          <w:color w:val="1973AF"/>
          <w:kern w:val="36"/>
          <w:sz w:val="28"/>
          <w:szCs w:val="28"/>
          <w:lang w:eastAsia="sk-SK"/>
        </w:rPr>
        <w:t>Elektronické služby DCOM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Arial" w:eastAsia="Times New Roman" w:hAnsi="Arial" w:cs="Arial"/>
          <w:color w:val="323232"/>
          <w:sz w:val="27"/>
          <w:szCs w:val="27"/>
          <w:lang w:eastAsia="sk-SK"/>
        </w:rPr>
        <w:t> </w:t>
      </w:r>
    </w:p>
    <w:p w:rsidR="00CC31F6" w:rsidRPr="00CC31F6" w:rsidRDefault="00CC31F6" w:rsidP="00CC31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Na prihlásenie a prístup k elektronickým službám potrebujete občiansky preukaz s elektronickým čipom spolu s bezpečnostným osobným kódom (BOK), čítačku čipových kariet a inštalovaný softvér (program) v počítači. Na inštaláciu aplikácií  potrebujete:</w:t>
      </w:r>
    </w:p>
    <w:p w:rsidR="00CC31F6" w:rsidRPr="00CC31F6" w:rsidRDefault="00CC31F6" w:rsidP="00CC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Aplikáciu </w:t>
      </w:r>
      <w:proofErr w:type="spellStart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eID</w:t>
      </w:r>
      <w:proofErr w:type="spellEnd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 klient - na prihlasovanie;</w:t>
      </w:r>
    </w:p>
    <w:p w:rsidR="00CC31F6" w:rsidRPr="00CC31F6" w:rsidRDefault="00CC31F6" w:rsidP="00CC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Ovládače - k čítačke kariet;</w:t>
      </w:r>
    </w:p>
    <w:p w:rsidR="00CC31F6" w:rsidRPr="00CC31F6" w:rsidRDefault="00CC31F6" w:rsidP="00CC31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Aplikáciu pre kvalifikovaný elektronický podpis - na podpisovanie;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 - softvér nájdete v sekcii </w:t>
      </w:r>
      <w:hyperlink r:id="rId5" w:tgtFrame="_blank" w:tooltip="Na stiahnutie" w:history="1">
        <w:r w:rsidRPr="00CC31F6">
          <w:rPr>
            <w:rFonts w:ascii="Times New Roman" w:eastAsia="Times New Roman" w:hAnsi="Times New Roman" w:cs="Times New Roman"/>
            <w:color w:val="325A87"/>
            <w:sz w:val="24"/>
            <w:szCs w:val="24"/>
            <w:u w:val="single"/>
            <w:lang w:eastAsia="sk-SK"/>
          </w:rPr>
          <w:t>Na stiahnutie</w:t>
        </w:r>
      </w:hyperlink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 (www.slovensko.sk);</w:t>
      </w:r>
    </w:p>
    <w:p w:rsidR="00CC31F6" w:rsidRPr="00CC31F6" w:rsidRDefault="00CC31F6" w:rsidP="00CC31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Na stránke máte k dispozícii nasledujúci softvér: ovládače k čítačke kariet, aplikáciu na prihlasovanie (</w:t>
      </w:r>
      <w:proofErr w:type="spellStart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eID</w:t>
      </w:r>
      <w:proofErr w:type="spellEnd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 klient) a balík aplikácií pre kvalifikovaný elektronický podpis (KEP).</w:t>
      </w:r>
    </w:p>
    <w:p w:rsidR="00CC31F6" w:rsidRPr="00CC31F6" w:rsidRDefault="00CC31F6" w:rsidP="00CC31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Elektronické služby pre </w:t>
      </w:r>
      <w:r w:rsidRPr="00D550F1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obec Sulín</w:t>
      </w: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 zabezpečuje a sprostredkováva dátové centrum obcí a miest (</w:t>
      </w:r>
      <w:r w:rsidRPr="00CC31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DCOM</w:t>
      </w: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).  Správca obsahu a technický prevádzkovateľ projektu DCOM je </w:t>
      </w:r>
      <w:proofErr w:type="spellStart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DataCentrum</w:t>
      </w:r>
      <w:proofErr w:type="spellEnd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 elektronizácie územnej samosprávy Slovenska (</w:t>
      </w:r>
      <w:r w:rsidRPr="00CC31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DEUS</w:t>
      </w: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).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Pre využívanie elektronických služieb sa užívateľ musí najskôr prihlásiť. </w:t>
      </w:r>
    </w:p>
    <w:tbl>
      <w:tblPr>
        <w:tblW w:w="11475" w:type="dxa"/>
        <w:jc w:val="center"/>
        <w:tblBorders>
          <w:top w:val="single" w:sz="6" w:space="0" w:color="D2EBFF"/>
          <w:left w:val="single" w:sz="6" w:space="0" w:color="D2EBFF"/>
          <w:bottom w:val="single" w:sz="6" w:space="0" w:color="D2EBFF"/>
          <w:right w:val="single" w:sz="6" w:space="0" w:color="D2EB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Dátové centrum obcí a miest"/>
      </w:tblPr>
      <w:tblGrid>
        <w:gridCol w:w="3586"/>
        <w:gridCol w:w="7889"/>
      </w:tblGrid>
      <w:tr w:rsidR="00CC31F6" w:rsidRPr="00CC31F6" w:rsidTr="00CC31F6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C31F6" w:rsidRPr="00CC31F6" w:rsidRDefault="00CC31F6" w:rsidP="00CC31F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sk-SK"/>
              </w:rPr>
            </w:pPr>
            <w:r w:rsidRPr="00CC31F6">
              <w:rPr>
                <w:rFonts w:ascii="Times New Roman" w:eastAsia="Times New Roman" w:hAnsi="Times New Roman" w:cs="Times New Roman"/>
                <w:color w:val="6C757D"/>
                <w:sz w:val="24"/>
                <w:szCs w:val="24"/>
                <w:lang w:eastAsia="sk-SK"/>
              </w:rPr>
              <w:t> </w:t>
            </w:r>
          </w:p>
        </w:tc>
      </w:tr>
      <w:tr w:rsidR="00CC31F6" w:rsidRPr="00CC31F6" w:rsidTr="00CC31F6">
        <w:trPr>
          <w:tblHeader/>
          <w:jc w:val="center"/>
        </w:trPr>
        <w:tc>
          <w:tcPr>
            <w:tcW w:w="0" w:type="auto"/>
            <w:tcBorders>
              <w:top w:val="single" w:sz="6" w:space="0" w:color="D2EBFF"/>
              <w:left w:val="single" w:sz="6" w:space="0" w:color="D2EBFF"/>
              <w:bottom w:val="single" w:sz="12" w:space="0" w:color="D2EBFF"/>
              <w:right w:val="single" w:sz="6" w:space="0" w:color="D2EBFF"/>
            </w:tcBorders>
            <w:shd w:val="clear" w:color="auto" w:fill="auto"/>
            <w:hideMark/>
          </w:tcPr>
          <w:p w:rsidR="00CC31F6" w:rsidRPr="00CC31F6" w:rsidRDefault="00CC31F6" w:rsidP="00CC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C31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Prihlásiť sa:</w:t>
            </w:r>
          </w:p>
        </w:tc>
        <w:tc>
          <w:tcPr>
            <w:tcW w:w="0" w:type="auto"/>
            <w:tcBorders>
              <w:top w:val="single" w:sz="6" w:space="0" w:color="D2EBFF"/>
              <w:left w:val="single" w:sz="6" w:space="0" w:color="D2EBFF"/>
              <w:bottom w:val="single" w:sz="12" w:space="0" w:color="D2EBFF"/>
              <w:right w:val="single" w:sz="6" w:space="0" w:color="D2EBFF"/>
            </w:tcBorders>
            <w:shd w:val="clear" w:color="auto" w:fill="auto"/>
            <w:hideMark/>
          </w:tcPr>
          <w:p w:rsidR="00CC31F6" w:rsidRPr="00CC31F6" w:rsidRDefault="00CC31F6" w:rsidP="00CC3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C31F6">
              <w:rPr>
                <w:rFonts w:ascii="Times New Roman" w:eastAsia="Times New Roman" w:hAnsi="Times New Roman" w:cs="Times New Roman"/>
                <w:b/>
                <w:bCs/>
                <w:noProof/>
                <w:color w:val="EBEBEB"/>
                <w:sz w:val="24"/>
                <w:szCs w:val="24"/>
                <w:lang w:eastAsia="sk-SK"/>
              </w:rPr>
              <w:drawing>
                <wp:inline distT="0" distB="0" distL="0" distR="0" wp14:anchorId="19A2D871" wp14:editId="57441DAD">
                  <wp:extent cx="1809750" cy="419100"/>
                  <wp:effectExtent l="0" t="0" r="0" b="0"/>
                  <wp:docPr id="2" name="Obrázok 2" descr="DCOM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COM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C31F6" w:rsidRPr="00D550F1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</w:pP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D550F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Obec Sulín</w:t>
      </w:r>
      <w:r w:rsidRPr="00CC31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 xml:space="preserve"> aktuálne poskytuje </w:t>
      </w:r>
      <w:r w:rsidRPr="00D550F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naj</w:t>
      </w:r>
      <w:r w:rsidRPr="00CC31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používanejš</w:t>
      </w:r>
      <w:r w:rsidRPr="00D550F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ie</w:t>
      </w:r>
      <w:r w:rsidRPr="00CC31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 xml:space="preserve"> služb</w:t>
      </w:r>
      <w:r w:rsidRPr="00D550F1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>y</w:t>
      </w:r>
      <w:r w:rsidRPr="00CC31F6">
        <w:rPr>
          <w:rFonts w:ascii="Times New Roman" w:eastAsia="Times New Roman" w:hAnsi="Times New Roman" w:cs="Times New Roman"/>
          <w:b/>
          <w:bCs/>
          <w:color w:val="323232"/>
          <w:sz w:val="24"/>
          <w:szCs w:val="24"/>
          <w:lang w:eastAsia="sk-SK"/>
        </w:rPr>
        <w:t xml:space="preserve"> pre riešenie životných situácií:</w:t>
      </w:r>
    </w:p>
    <w:p w:rsidR="00CC31F6" w:rsidRPr="00CC31F6" w:rsidRDefault="00CC31F6" w:rsidP="00CC31F6">
      <w:pPr>
        <w:spacing w:after="0" w:line="240" w:lineRule="auto"/>
        <w:rPr>
          <w:rFonts w:ascii="Arial" w:eastAsia="Times New Roman" w:hAnsi="Arial" w:cs="Arial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pict>
          <v:rect id="_x0000_i1025" style="width:0;height:0" o:hralign="center" o:hrstd="t" o:hr="t" fillcolor="#a0a0a0" stroked="f"/>
        </w:pict>
      </w:r>
    </w:p>
    <w:p w:rsidR="00CC31F6" w:rsidRPr="00CC31F6" w:rsidRDefault="00CC31F6" w:rsidP="00CC3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sk-SK"/>
        </w:rPr>
        <w:t>Odpady a drobné stavebné odpady</w:t>
      </w:r>
    </w:p>
    <w:p w:rsidR="00CC31F6" w:rsidRPr="00CC31F6" w:rsidRDefault="00CC31F6" w:rsidP="00CC31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- miestny poplatok sa platí za komunálne odpady a drobné stavebné odpady, ktoré vznikajú na území obce. Oznámením poplatník plní povinnosť oznámiť správcovi dane v priebehu príslušného zdaňovacieho obdobia rozhodujúce skutočnosti pre vznik alebo zánik poplatkovej povinnosti, ako aj zmeny v okolnostiach rozhodujúcich pre určenie poplatkovej povinnosti. Lehota na oznámenie je do 30 dní odo dňa, keď tieto skutočnosti nastali.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sk-SK"/>
        </w:rPr>
        <w:t>Elektronické podanie: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hyperlink r:id="rId8" w:history="1">
        <w:r w:rsidRPr="00CC31F6">
          <w:rPr>
            <w:rFonts w:ascii="Times New Roman" w:eastAsia="Times New Roman" w:hAnsi="Times New Roman" w:cs="Times New Roman"/>
            <w:b/>
            <w:bCs/>
            <w:color w:val="325A87"/>
            <w:sz w:val="27"/>
            <w:szCs w:val="27"/>
            <w:u w:val="single"/>
            <w:lang w:eastAsia="sk-SK"/>
          </w:rPr>
          <w:t>Oznámenie k poplatku za komunál</w:t>
        </w:r>
        <w:bookmarkStart w:id="0" w:name="_GoBack"/>
        <w:bookmarkEnd w:id="0"/>
        <w:r w:rsidRPr="00CC31F6">
          <w:rPr>
            <w:rFonts w:ascii="Times New Roman" w:eastAsia="Times New Roman" w:hAnsi="Times New Roman" w:cs="Times New Roman"/>
            <w:b/>
            <w:bCs/>
            <w:color w:val="325A87"/>
            <w:sz w:val="27"/>
            <w:szCs w:val="27"/>
            <w:u w:val="single"/>
            <w:lang w:eastAsia="sk-SK"/>
          </w:rPr>
          <w:t>ne odpady a drobné stavebné odpady (FO)</w:t>
        </w:r>
      </w:hyperlink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hyperlink r:id="rId9" w:history="1">
        <w:r w:rsidRPr="00CC31F6">
          <w:rPr>
            <w:rFonts w:ascii="Times New Roman" w:eastAsia="Times New Roman" w:hAnsi="Times New Roman" w:cs="Times New Roman"/>
            <w:b/>
            <w:bCs/>
            <w:color w:val="325A87"/>
            <w:sz w:val="27"/>
            <w:szCs w:val="27"/>
            <w:u w:val="single"/>
            <w:lang w:eastAsia="sk-SK"/>
          </w:rPr>
          <w:t>Oznámenie k poplatku za komunálne odpady a drobné stavebné odpady, množstvový zber (FO)</w:t>
        </w:r>
      </w:hyperlink>
    </w:p>
    <w:p w:rsidR="00CC31F6" w:rsidRPr="00CC31F6" w:rsidRDefault="00CC31F6" w:rsidP="00CC31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pict>
          <v:rect id="_x0000_i1026" style="width:0;height:0" o:hralign="center" o:hrstd="t" o:hr="t" fillcolor="#a0a0a0" stroked="f"/>
        </w:pict>
      </w:r>
    </w:p>
    <w:p w:rsidR="00CC31F6" w:rsidRPr="00CC31F6" w:rsidRDefault="00CC31F6" w:rsidP="00CC31F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sk-SK"/>
        </w:rPr>
        <w:lastRenderedPageBreak/>
        <w:t>Daň z </w:t>
      </w:r>
      <w:proofErr w:type="spellStart"/>
      <w:r w:rsidRPr="00CC31F6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sk-SK"/>
        </w:rPr>
        <w:t>nehnutelnosti</w:t>
      </w:r>
      <w:proofErr w:type="spellEnd"/>
    </w:p>
    <w:p w:rsidR="00CC31F6" w:rsidRPr="00CC31F6" w:rsidRDefault="00CC31F6" w:rsidP="00CC31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- predmetom dane z nehnuteľností je daň z pozemkov, daň zo stavieb a daň z bytov. Priznanie k dani z nehnuteľností je daňovník povinný podať príslušnému správcovi dane do 31. januára toho zdaňovacieho obdobia, v ktorom mu vznikla daňová povinnosť k týmto daniam alebo niektorej z nich podľa stavu k 1. januáru zdaňovacieho obdobia. Prostredníctvom </w:t>
      </w:r>
      <w:proofErr w:type="spellStart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eSlužby</w:t>
      </w:r>
      <w:proofErr w:type="spellEnd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 sa vytvárajú podmienky pre vyplnenie a podanie daňového priznania k tejto dani. Na základe identifikácie daňovníka sa vyhľadajú informácie potrebné k podaniu daňového priznania, ktoré sú k dispozícii vo verejných registroch.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sk-SK"/>
        </w:rPr>
        <w:t>Elektronické podanie: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hyperlink r:id="rId10" w:history="1">
        <w:r w:rsidRPr="00CC31F6">
          <w:rPr>
            <w:rFonts w:ascii="Times New Roman" w:eastAsia="Times New Roman" w:hAnsi="Times New Roman" w:cs="Times New Roman"/>
            <w:b/>
            <w:bCs/>
            <w:color w:val="325A87"/>
            <w:sz w:val="27"/>
            <w:szCs w:val="27"/>
            <w:u w:val="single"/>
            <w:lang w:eastAsia="sk-SK"/>
          </w:rPr>
          <w:t>Priznanie k dani z nehnuteľnosti (FO)</w:t>
        </w:r>
      </w:hyperlink>
    </w:p>
    <w:p w:rsidR="00CC31F6" w:rsidRPr="00CC31F6" w:rsidRDefault="00CC31F6" w:rsidP="00CC31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pict>
          <v:rect id="_x0000_i1027" style="width:0;height:0" o:hralign="center" o:hrstd="t" o:hr="t" fillcolor="#a0a0a0" stroked="f"/>
        </w:pict>
      </w:r>
    </w:p>
    <w:p w:rsidR="00CC31F6" w:rsidRPr="00CC31F6" w:rsidRDefault="00CC31F6" w:rsidP="00CC31F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b/>
          <w:color w:val="323232"/>
          <w:sz w:val="24"/>
          <w:szCs w:val="24"/>
          <w:u w:val="single"/>
          <w:lang w:eastAsia="sk-SK"/>
        </w:rPr>
        <w:t>Daň za psa</w:t>
      </w:r>
    </w:p>
    <w:p w:rsidR="00CC31F6" w:rsidRPr="00CC31F6" w:rsidRDefault="00CC31F6" w:rsidP="00CC31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- predmetom dane je pes starší ako 6 mesiacov, chovaný fyzickou osobou alebo právnickou osobou. Daňovníkom je fyzická osoba alebo právnická osoba, ktorá je vlastníkom psa alebo držiteľom psa. Ak vznikne daňová povinnosť k dani za psa v priebehu zdaňovacieho obdobia, daňovník je povinný podať priznanie najneskôr do 30 dní odo dňa vzniku tejto daňovej povinnosti. Prostredníctvom </w:t>
      </w:r>
      <w:proofErr w:type="spellStart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>eSlužby</w:t>
      </w:r>
      <w:proofErr w:type="spellEnd"/>
      <w:r w:rsidRPr="00CC31F6">
        <w:rPr>
          <w:rFonts w:ascii="Times New Roman" w:eastAsia="Times New Roman" w:hAnsi="Times New Roman" w:cs="Times New Roman"/>
          <w:color w:val="323232"/>
          <w:sz w:val="24"/>
          <w:szCs w:val="24"/>
          <w:lang w:eastAsia="sk-SK"/>
        </w:rPr>
        <w:t xml:space="preserve"> sa vytvárajú podmienky pre vyplnenie a podanie daňového priznania k tejto dani.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b/>
          <w:bCs/>
          <w:color w:val="323232"/>
          <w:sz w:val="27"/>
          <w:szCs w:val="27"/>
          <w:lang w:eastAsia="sk-SK"/>
        </w:rPr>
        <w:t>Elektronické podanie: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hyperlink r:id="rId11" w:history="1">
        <w:r w:rsidRPr="00CC31F6">
          <w:rPr>
            <w:rFonts w:ascii="Times New Roman" w:eastAsia="Times New Roman" w:hAnsi="Times New Roman" w:cs="Times New Roman"/>
            <w:b/>
            <w:bCs/>
            <w:color w:val="325A87"/>
            <w:sz w:val="27"/>
            <w:szCs w:val="27"/>
            <w:u w:val="single"/>
            <w:lang w:eastAsia="sk-SK"/>
          </w:rPr>
          <w:t>Priznanie k dani za psa (FO)</w:t>
        </w:r>
      </w:hyperlink>
    </w:p>
    <w:p w:rsidR="00CC31F6" w:rsidRPr="00CC31F6" w:rsidRDefault="00CC31F6" w:rsidP="00CC31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pict>
          <v:rect id="_x0000_i1028" style="width:0;height:0" o:hralign="center" o:hrstd="t" o:hr="t" fillcolor="#a0a0a0" stroked="f"/>
        </w:pic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lang w:eastAsia="sk-SK"/>
        </w:rPr>
        <w:t>Zákon č.582/2004 Z. z. Zákon o miestnych daniach a miestnom poplatku za komunálne odpady a drobné stavebné odpady v znení neskorších predpisov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lang w:eastAsia="sk-SK"/>
        </w:rPr>
        <w:t>Zákon č.563/2009 Z. z. Zákon o správe daní (Daňový poriadok) a o zmene a doplnení niektorých zákonov</w:t>
      </w:r>
    </w:p>
    <w:p w:rsidR="00CC31F6" w:rsidRPr="00CC31F6" w:rsidRDefault="00CC31F6" w:rsidP="00CC31F6">
      <w:pPr>
        <w:spacing w:after="100" w:afterAutospacing="1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t>Príslušné VZN obce: </w:t>
      </w:r>
      <w:hyperlink r:id="rId12" w:tgtFrame="_blank" w:history="1">
        <w:r w:rsidRPr="00CC31F6">
          <w:rPr>
            <w:rFonts w:ascii="Times New Roman" w:eastAsia="Times New Roman" w:hAnsi="Times New Roman" w:cs="Times New Roman"/>
            <w:color w:val="325A87"/>
            <w:sz w:val="27"/>
            <w:szCs w:val="27"/>
            <w:u w:val="single"/>
            <w:lang w:eastAsia="sk-SK"/>
          </w:rPr>
          <w:t>1/2021</w:t>
        </w:r>
      </w:hyperlink>
    </w:p>
    <w:p w:rsidR="00CC31F6" w:rsidRPr="00CC31F6" w:rsidRDefault="00CC31F6" w:rsidP="00CC31F6">
      <w:pPr>
        <w:spacing w:after="0" w:line="240" w:lineRule="auto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pict>
          <v:rect id="_x0000_i1029" style="width:0;height:0" o:hralign="center" o:hrstd="t" o:hr="t" fillcolor="#a0a0a0" stroked="f"/>
        </w:pict>
      </w:r>
    </w:p>
    <w:p w:rsidR="00CC31F6" w:rsidRPr="00CC31F6" w:rsidRDefault="00CC31F6" w:rsidP="00CC31F6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</w:pPr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t xml:space="preserve"> Dátové centrum obcí a miest, poskytuje mestským a obecným úradom potrebné aplikácie ako službu, zabezpečuje ich integráciu s ISVS a zároveň sprostredkuje prístup k </w:t>
      </w:r>
      <w:proofErr w:type="spellStart"/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t>eSlužbám</w:t>
      </w:r>
      <w:proofErr w:type="spellEnd"/>
      <w:r w:rsidRPr="00CC31F6">
        <w:rPr>
          <w:rFonts w:ascii="Times New Roman" w:eastAsia="Times New Roman" w:hAnsi="Times New Roman" w:cs="Times New Roman"/>
          <w:color w:val="323232"/>
          <w:sz w:val="27"/>
          <w:szCs w:val="27"/>
          <w:lang w:eastAsia="sk-SK"/>
        </w:rPr>
        <w:t xml:space="preserve"> samospráv širokej verejnosti. Poskytované služby IS DCOM zodpovedajú okruhu originálnych kompetencií obcí a miest.</w:t>
      </w:r>
    </w:p>
    <w:p w:rsidR="00FC74DE" w:rsidRPr="00CC31F6" w:rsidRDefault="00FC74DE">
      <w:pPr>
        <w:rPr>
          <w:rFonts w:ascii="Times New Roman" w:hAnsi="Times New Roman" w:cs="Times New Roman"/>
        </w:rPr>
      </w:pPr>
    </w:p>
    <w:sectPr w:rsidR="00FC74DE" w:rsidRPr="00CC3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01FCF"/>
    <w:multiLevelType w:val="multilevel"/>
    <w:tmpl w:val="DA6CD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F7AD0"/>
    <w:multiLevelType w:val="multilevel"/>
    <w:tmpl w:val="9322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DA2C7B"/>
    <w:multiLevelType w:val="multilevel"/>
    <w:tmpl w:val="2C18E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C966D3"/>
    <w:multiLevelType w:val="multilevel"/>
    <w:tmpl w:val="DEE8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044A71"/>
    <w:multiLevelType w:val="multilevel"/>
    <w:tmpl w:val="37C61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D31DB6"/>
    <w:multiLevelType w:val="multilevel"/>
    <w:tmpl w:val="FDD68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731B4"/>
    <w:multiLevelType w:val="multilevel"/>
    <w:tmpl w:val="2044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FC7E8E"/>
    <w:multiLevelType w:val="multilevel"/>
    <w:tmpl w:val="BE6C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F6"/>
    <w:rsid w:val="00CC31F6"/>
    <w:rsid w:val="00D550F1"/>
    <w:rsid w:val="00F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3F4CD-1EB7-4810-87B5-8354C619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68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com.sk/epodanie?SubjectID=XXXXXXXX-XXXX-XXXX-XXXX-XXXXXXXXXXX&amp;ActorID=XXXXXXXX-XXXX-XXXX-XXXX-XXXXXXXXXXX&amp;langId=sk&amp;personType=FO&amp;TenantID=5FDABC75-DA5E-4706-9397-8914BD145AD6&amp;docSetId=1344&amp;inDeputy=false&amp;formTitle=Ozn%C3%A1menie+k+poplatku+za+komun%C3%A1lne+odpady+a+drobn%C3%A9+stavebn%C3%A9+odpady+%28FO%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nina.sk.cass2.gcm.cloud/obcan/vzn-a-dokumenty-schvalovane-msz/117-2012-55.html?kshowback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com.sk/esluzby" TargetMode="External"/><Relationship Id="rId11" Type="http://schemas.openxmlformats.org/officeDocument/2006/relationships/hyperlink" Target="https://www.dcom.sk/epodanie?SubjectID=XXXXXXXX-XXXX-XXXX-XXXX-XXXXXXXXXXX&amp;ActorID=XXXXXXXX-XXXX-XXXX-XXXX-XXXXXXXXXXX&amp;langId=sk&amp;personType=FO&amp;TenantID=5FDABC75-DA5E-4706-9397-8914BD145AD6&amp;docSetId=1257&amp;inDeputy=false&amp;formTitle=Priznanie+k+dani+za+psa+%28FO%29" TargetMode="External"/><Relationship Id="rId5" Type="http://schemas.openxmlformats.org/officeDocument/2006/relationships/hyperlink" Target="https://www.slovensko.sk/sk/na-stiahnutie" TargetMode="External"/><Relationship Id="rId10" Type="http://schemas.openxmlformats.org/officeDocument/2006/relationships/hyperlink" Target="https://www.dcom.sk/epodanie?SubjectID=XXXXXXXX-XXXX-XXXX-XXXX-XXXXXXXXXXX&amp;ActorID=XXXXXXXX-XXXX-XXXX-XXXX-XXXXXXXXXXX&amp;langId=sk&amp;personType=FO&amp;TenantID=5FDABC75-DA5E-4706-9397-8914BD145AD6&amp;docSetId=1315&amp;inDeputy=false&amp;formTitle=Priznanie+k+dani+z+nehnute%C4%BEnosti+%28FO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com.sk/epodanie?SubjectID=XXXXXXXX-XXXX-XXXX-XXXX-XXXXXXXXXXX&amp;ActorID=XXXXXXXX-XXXX-XXXX-XXXX-XXXXXXXXXXX&amp;langId=sk&amp;personType=FO&amp;TenantID=5FDABC75-DA5E-4706-9397-8914BD145AD6&amp;docSetId=1254&amp;inDeputy=false&amp;formTitle=Ozn%C3%A1menie+k+poplatku+za+komun%C3%A1lne+odpady+a+drobn%C3%A9+stavebn%C3%A9+odpady%2C+mno%C5%BEstvov%C3%BD+zber+%28FO%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MALASTOVÁ Helena</dc:creator>
  <cp:keywords/>
  <dc:description/>
  <cp:lastModifiedBy>MALASTOVÁ Helena</cp:lastModifiedBy>
  <cp:revision>1</cp:revision>
  <dcterms:created xsi:type="dcterms:W3CDTF">2021-11-24T10:43:00Z</dcterms:created>
  <dcterms:modified xsi:type="dcterms:W3CDTF">2021-11-24T10:56:00Z</dcterms:modified>
</cp:coreProperties>
</file>